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6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7162"/>
      </w:tblGrid>
      <w:tr w:rsidR="00614C2D" w:rsidTr="00CA70C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101" w:type="pct"/>
            <w:shd w:val="clear" w:color="auto" w:fill="E7F0F9"/>
          </w:tcPr>
          <w:p w:rsidR="00614C2D" w:rsidRDefault="00CA70C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3708" w:type="pct"/>
            <w:shd w:val="clear" w:color="auto" w:fill="E7F0F9"/>
          </w:tcPr>
          <w:p w:rsidR="00614C2D" w:rsidRDefault="00CA70C4">
            <w:pPr>
              <w:spacing w:after="0" w:line="240" w:lineRule="auto"/>
            </w:pPr>
            <w:r>
              <w:t>42434</w:t>
            </w:r>
          </w:p>
        </w:tc>
      </w:tr>
      <w:tr w:rsidR="00614C2D" w:rsidTr="00CA70C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101" w:type="pct"/>
            <w:shd w:val="clear" w:color="auto" w:fill="E7F0F9"/>
          </w:tcPr>
          <w:p w:rsidR="00614C2D" w:rsidRDefault="00CA70C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3708" w:type="pct"/>
            <w:shd w:val="clear" w:color="auto" w:fill="E7F0F9"/>
          </w:tcPr>
          <w:p w:rsidR="00614C2D" w:rsidRDefault="00CA70C4">
            <w:pPr>
              <w:spacing w:after="0" w:line="240" w:lineRule="auto"/>
            </w:pPr>
            <w:r>
              <w:t>DRŽAVNO IZBORNO POVJERENSTVO REPUBLIKE HRVATSKE</w:t>
            </w:r>
          </w:p>
        </w:tc>
      </w:tr>
      <w:tr w:rsidR="00614C2D" w:rsidTr="00CA70C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101" w:type="pct"/>
            <w:shd w:val="clear" w:color="auto" w:fill="E7F0F9"/>
          </w:tcPr>
          <w:p w:rsidR="00614C2D" w:rsidRDefault="00CA70C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3708" w:type="pct"/>
            <w:shd w:val="clear" w:color="auto" w:fill="E7F0F9"/>
          </w:tcPr>
          <w:p w:rsidR="00614C2D" w:rsidRDefault="00CA70C4">
            <w:pPr>
              <w:spacing w:after="0" w:line="240" w:lineRule="auto"/>
            </w:pPr>
            <w:r>
              <w:t>11</w:t>
            </w:r>
          </w:p>
        </w:tc>
      </w:tr>
    </w:tbl>
    <w:p w:rsidR="00614C2D" w:rsidRDefault="00614C2D"/>
    <w:p w:rsidR="00614C2D" w:rsidRDefault="00CA70C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14C2D" w:rsidRDefault="00CA70C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14C2D" w:rsidRDefault="00CA70C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614C2D" w:rsidRDefault="00614C2D"/>
    <w:p w:rsidR="00614C2D" w:rsidRDefault="00CA70C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31.147.482,79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13.578.987,86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43,6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32.116.070,57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12.617.839,91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39,3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614C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961.147,95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30.793,93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70.997,35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230,6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614C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30.793,93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70.997,35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230,6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614C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614C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890.150,60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 xml:space="preserve">Državno izborno povjerenstvo Republike Hrvatske je stalno i neovisno državno tijelo koje obavlja poslove iz svog djelokruga u skladu </w:t>
      </w:r>
      <w:proofErr w:type="gramStart"/>
      <w:r>
        <w:t>sa</w:t>
      </w:r>
      <w:proofErr w:type="gramEnd"/>
      <w:r>
        <w:t xml:space="preserve"> Zakonom o Državnom izbornom povjerenstvu Republike Hrvatske (Narodne novine, br. 44/06, 19/07) te zakonima kojima je regulirana provedba izbora u Republici Hrvatskoj, kao i provedba državnog, lokalnog i savjetodavnog referenduma. </w:t>
      </w:r>
    </w:p>
    <w:p w:rsidR="00614C2D" w:rsidRDefault="00CA70C4">
      <w:pPr>
        <w:jc w:val="both"/>
      </w:pPr>
      <w:r>
        <w:lastRenderedPageBreak/>
        <w:t xml:space="preserve">Korisnik je državnog proračuna čiji se prihodi i primici, rashodi i izdaci planiraju u Državnom proračunu Republike Hrvatske </w:t>
      </w:r>
      <w:proofErr w:type="gramStart"/>
      <w:r>
        <w:t>na</w:t>
      </w:r>
      <w:proofErr w:type="gramEnd"/>
      <w:r>
        <w:t xml:space="preserve"> glavi 01205 Državno izborno povjerenstvo Republike Hrvatske, te u svojoj nadležnosti nema drugih proračunskih korisnika.</w:t>
      </w:r>
    </w:p>
    <w:p w:rsidR="00614C2D" w:rsidRDefault="00CA70C4">
      <w:pPr>
        <w:jc w:val="both"/>
      </w:pPr>
      <w:r>
        <w:t xml:space="preserve">Kao proračunski korisnik Državno izborno povjerenstvo Republike Hrvatske primjenjuje Zakon o proračunu (Narodne novine, br.144/21) i pripadajuće podzakonske akte. U planiranju, izvršavanju i računovodstvu </w:t>
      </w:r>
      <w:proofErr w:type="gramStart"/>
      <w:r>
        <w:t>te</w:t>
      </w:r>
      <w:proofErr w:type="gramEnd"/>
      <w:r>
        <w:t xml:space="preserve"> izvršavanju financijskog plana primjenjuju se: Zakon o izvršavanju Državnog proračuna Republike Hrvatske za 2023. (Narodne novine, br. 149/24, 134/25); Pravilnik o financijskom izvještavanju u proračunskom računovodstvu (Narodne novine, br. 37/22); Pravilnik o proračunskom računovodstvu i računskom planu (Narodne novine, </w:t>
      </w:r>
      <w:proofErr w:type="gramStart"/>
      <w:r>
        <w:t>od</w:t>
      </w:r>
      <w:proofErr w:type="gramEnd"/>
      <w:r>
        <w:t xml:space="preserve"> br. 158/23, 154/24); Pravilnik o proračunskim klasifikacijama (Narodne novine od br. 4/24, 122/25).</w:t>
      </w:r>
    </w:p>
    <w:p w:rsidR="00614C2D" w:rsidRDefault="00CA70C4">
      <w:pPr>
        <w:jc w:val="both"/>
      </w:pPr>
      <w:r>
        <w:t>Pravilnik o financijskom izvještavanju propisuje da su Bilješke uz financijske izvještaje sastavni dio seta financijskog izvještavanja, kao dopuna podataka uz financijske izvještaje. </w:t>
      </w:r>
    </w:p>
    <w:p w:rsidR="00614C2D" w:rsidRDefault="00614C2D">
      <w:pPr>
        <w:jc w:val="both"/>
      </w:pPr>
    </w:p>
    <w:p w:rsidR="00614C2D" w:rsidRDefault="00CA70C4">
      <w:pPr>
        <w:jc w:val="both"/>
      </w:pPr>
      <w:r>
        <w:t xml:space="preserve">U 2025. </w:t>
      </w:r>
      <w:proofErr w:type="gramStart"/>
      <w:r>
        <w:t>godini</w:t>
      </w:r>
      <w:proofErr w:type="gramEnd"/>
      <w:r>
        <w:t xml:space="preserve"> ukupni prihodi Državnog izbornog povjerenstva Republike Hrvatske ostvareni su u iznosu od 13.578.987,86 dok su ukupni rashodi ostvareni u iznosu od 12.688.837,26. Ukupni prihodi i rashodi su u odnosu </w:t>
      </w:r>
      <w:proofErr w:type="gramStart"/>
      <w:r>
        <w:t>na</w:t>
      </w:r>
      <w:proofErr w:type="gramEnd"/>
      <w:r>
        <w:t xml:space="preserve"> prethodnu godinu višestruko smanjeni. Do takvog znatnog odstupanja došlo zbog održavanja većeg broja izbora </w:t>
      </w:r>
      <w:proofErr w:type="gramStart"/>
      <w:r>
        <w:t>na</w:t>
      </w:r>
      <w:proofErr w:type="gramEnd"/>
      <w:r>
        <w:t xml:space="preserve"> državnoj razini u 2024. </w:t>
      </w:r>
      <w:proofErr w:type="gramStart"/>
      <w:r>
        <w:t>godini</w:t>
      </w:r>
      <w:proofErr w:type="gramEnd"/>
      <w:r>
        <w:t xml:space="preserve"> i to: izbora zastupnika u Hrvatski sabor, izbora članova u Europski parlament iz Republike Hrvatske te izbora za predsjednika Republike Hrvatske (I. krug), dok je u 2025. </w:t>
      </w:r>
      <w:proofErr w:type="gramStart"/>
      <w:r>
        <w:t>održan</w:t>
      </w:r>
      <w:proofErr w:type="gramEnd"/>
      <w:r>
        <w:t xml:space="preserve"> samo II. </w:t>
      </w:r>
      <w:proofErr w:type="gramStart"/>
      <w:r>
        <w:t>krug</w:t>
      </w:r>
      <w:proofErr w:type="gramEnd"/>
      <w:r>
        <w:t xml:space="preserve"> izbora za predsjednika Republike Hrvatske.</w:t>
      </w:r>
    </w:p>
    <w:p w:rsidR="00614C2D" w:rsidRDefault="00CA70C4">
      <w:pPr>
        <w:jc w:val="both"/>
      </w:pPr>
      <w:r>
        <w:t xml:space="preserve">Sukladno zakonskim propisima sredstva za pokriće svih troškova održavanja odnosno provedbe izbora </w:t>
      </w:r>
      <w:proofErr w:type="gramStart"/>
      <w:r>
        <w:t>na</w:t>
      </w:r>
      <w:proofErr w:type="gramEnd"/>
      <w:r>
        <w:t xml:space="preserve"> državnoj razini osiguravaju u državnom proračunu Republike Hrvatske na razdjelu Državnog izbornog povjerenstva Republike Hrvatske. Upravo je to razlog značajnih razlika u stanju </w:t>
      </w:r>
      <w:proofErr w:type="gramStart"/>
      <w:r>
        <w:t>na</w:t>
      </w:r>
      <w:proofErr w:type="gramEnd"/>
      <w:r>
        <w:t xml:space="preserve"> kraju izvještajnog razdoblja u odnosu na stanje na početku izvještajnog razdoblja odnosno razlog značajnog odstupanja ostvarenja u 2025. </w:t>
      </w:r>
      <w:proofErr w:type="gramStart"/>
      <w:r>
        <w:t>u</w:t>
      </w:r>
      <w:proofErr w:type="gramEnd"/>
      <w:r>
        <w:t xml:space="preserve"> odnosu na izvještajno razdoblje prethodne godine. </w:t>
      </w:r>
    </w:p>
    <w:p w:rsidR="00614C2D" w:rsidRDefault="00CA70C4">
      <w:pPr>
        <w:jc w:val="both"/>
      </w:pPr>
      <w:r>
        <w:t xml:space="preserve">Ukupni prihodi se u cijelosti odnose </w:t>
      </w:r>
      <w:proofErr w:type="gramStart"/>
      <w:r>
        <w:t>na</w:t>
      </w:r>
      <w:proofErr w:type="gramEnd"/>
      <w:r>
        <w:t xml:space="preserve"> prihode poslovanja koji se u cijelosti na prihode iz nadležnog proračuna. Ukupni rashodi se sastoje od rashoda poslovanja koji čine 99</w:t>
      </w:r>
      <w:proofErr w:type="gramStart"/>
      <w:r>
        <w:t>,4</w:t>
      </w:r>
      <w:proofErr w:type="gramEnd"/>
      <w:r>
        <w:t>% ukupnih rashoda te rashoda za nabavu nefinancijske imovine koji čine 0,06% ukupnih rashoda.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31.147.482,79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13.578.987,86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43,6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 xml:space="preserve">U 2025. </w:t>
      </w:r>
      <w:proofErr w:type="gramStart"/>
      <w:r>
        <w:t>godini</w:t>
      </w:r>
      <w:proofErr w:type="gramEnd"/>
      <w:r>
        <w:t xml:space="preserve"> prihodi poslovanja ostvareni su u ukupnom iznosu od 13.578.987,86 što je za 56,4% manje u odnosu na prethodnu godinu. </w:t>
      </w:r>
    </w:p>
    <w:p w:rsidR="00614C2D" w:rsidRDefault="00CA70C4">
      <w:pPr>
        <w:jc w:val="both"/>
      </w:pPr>
      <w:r>
        <w:lastRenderedPageBreak/>
        <w:t xml:space="preserve">Prihodi poslovanja u cijelosti se odnose </w:t>
      </w:r>
      <w:proofErr w:type="gramStart"/>
      <w:r>
        <w:t>na</w:t>
      </w:r>
      <w:proofErr w:type="gramEnd"/>
      <w:r>
        <w:t xml:space="preserve"> prihode iz nadležnog proračuna za financiranje rashoda poslovanja i za financiranje rashoda za nabavu nefinancijske imovine.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31.115.226,59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13.507.990,51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43,4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>Prihodi iz nadležnog proračuna za financiranje rashoda poslovanja ostvareni su u iznosu od 13.507.990</w:t>
      </w:r>
      <w:proofErr w:type="gramStart"/>
      <w:r>
        <w:t>,51</w:t>
      </w:r>
      <w:proofErr w:type="gramEnd"/>
      <w:r>
        <w:t xml:space="preserve"> te su u odnosu na prethodnu godinu smanjeni za 56,6%. Razlog takvog značajnog smanjenja u odnosu </w:t>
      </w:r>
      <w:proofErr w:type="gramStart"/>
      <w:r>
        <w:t>na</w:t>
      </w:r>
      <w:proofErr w:type="gramEnd"/>
      <w:r>
        <w:t xml:space="preserve"> prethodnu godinu leži u provedbi samo jednih izbora na državnoj razini i to II. </w:t>
      </w:r>
      <w:proofErr w:type="gramStart"/>
      <w:r>
        <w:t>kruga</w:t>
      </w:r>
      <w:proofErr w:type="gramEnd"/>
      <w:r>
        <w:t xml:space="preserve"> izbora za predsjednika Republike Hrvatske za koje se sredstva za pokriće cjelokupnih troškova provedbe izbora osiguravaju u državnom proračunu Republike Hrvatske na razdjelu Državnog izbornog povjerenstva Republike Hrvatske. Tijekom 2025. </w:t>
      </w:r>
      <w:proofErr w:type="gramStart"/>
      <w:r>
        <w:t>godine održani su i izbori za članove predstavničkih tijela jedinica lokalne i područne (regionalne) samouprave, izbori općinskih načelnika, gradonačelnika i župana te njihovih zamjenika i izbori zamjenika općinskih načelnika, gradonačelnika i župana iz reda pripadnika nacionalnih manjina, odnosno iz reda pripadnika hrvatskog naroda – lokalni izbori za koje su, sukladno zakonskim propisima, iz proračuna podmireni samo rashodi za informatičku podršku i naknada za rad informatičkih koordinatora na izborima.</w:t>
      </w:r>
      <w:proofErr w:type="gramEnd"/>
    </w:p>
    <w:p w:rsidR="00614C2D" w:rsidRDefault="00CA70C4">
      <w:pPr>
        <w:jc w:val="both"/>
      </w:pPr>
      <w:r>
        <w:t xml:space="preserve">Tijekom 2024. godine održani su izbori zastupnika u Hrvatski sabor, izbori članova u Europski parlament iz Republike Hrvatske te izbori za predsjednika Republike Hrvatske (I. krug) za koje se sredstva za pokriće cjelokupnih troškova osiguravaju u državnom proračunu Republike Hrvatske na razdjelu Državnog izbornog povjerenstva Republike Hrvatske. Zbog većeg broja izbora </w:t>
      </w:r>
      <w:proofErr w:type="gramStart"/>
      <w:r>
        <w:t>na</w:t>
      </w:r>
      <w:proofErr w:type="gramEnd"/>
      <w:r>
        <w:t xml:space="preserve"> državnoj razini koji su provedeni tijekom 2024 godine bilo je potrebno osigurati znatno veća sredstva u odnosu na 2025. </w:t>
      </w:r>
      <w:proofErr w:type="gramStart"/>
      <w:r>
        <w:t>godinu</w:t>
      </w:r>
      <w:proofErr w:type="gramEnd"/>
      <w:r>
        <w:t>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30.793,93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70.997,35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230,6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>Prihodi iz nadležnog proračuna za financiranje rashoda za nabavu nefinancijske imovine su ostvareni u iznosu od 70.997,35 što je povećanje za 230</w:t>
      </w:r>
      <w:proofErr w:type="gramStart"/>
      <w:r>
        <w:t>,60</w:t>
      </w:r>
      <w:proofErr w:type="gramEnd"/>
      <w:r>
        <w:t xml:space="preserve">% u odnosu na prethodnu godinu. Odnose se </w:t>
      </w:r>
      <w:proofErr w:type="gramStart"/>
      <w:r>
        <w:t>na</w:t>
      </w:r>
      <w:proofErr w:type="gramEnd"/>
      <w:r>
        <w:t xml:space="preserve"> rashode za nabavu računala, monitora, uredskog namještaja, komunikacijske opreme – mobitela, ostale opreme te prijevoznog sredstva – osobnog automobila.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32.116.070,57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12.617.839,91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39,3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 xml:space="preserve">U 2025. </w:t>
      </w:r>
      <w:proofErr w:type="gramStart"/>
      <w:r>
        <w:t>godini</w:t>
      </w:r>
      <w:proofErr w:type="gramEnd"/>
      <w:r>
        <w:t xml:space="preserve"> rashodi poslovanja ostvareni su u ukupnom iznosu od 12.617.839,91 što je 60,7% manje u odnosu na prethodnu godinu.</w:t>
      </w:r>
    </w:p>
    <w:p w:rsidR="00614C2D" w:rsidRDefault="00CA70C4">
      <w:pPr>
        <w:jc w:val="both"/>
      </w:pPr>
      <w:r>
        <w:t xml:space="preserve">Rashodi poslovanja sastoje se od rashoda za zaposlene – šifra 31, materijalnih rashoda – šifra 32, financijskih rashoda – šifra 34 i ostalih rashoda – šifra 38. Na poziciji rashoda za zaposlene došlo je do povećanja dok je </w:t>
      </w:r>
      <w:proofErr w:type="gramStart"/>
      <w:r>
        <w:t>na</w:t>
      </w:r>
      <w:proofErr w:type="gramEnd"/>
      <w:r>
        <w:t xml:space="preserve"> svim ostalim pozicijama rashoda poslovanja došlo do znatnog smanjenja u odnosu na prethodnu godinu.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1.085.523,62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1.398.866,08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128,9</w:t>
            </w:r>
          </w:p>
        </w:tc>
      </w:tr>
    </w:tbl>
    <w:p w:rsidR="00614C2D" w:rsidRDefault="00614C2D">
      <w:pPr>
        <w:spacing w:after="0"/>
      </w:pPr>
    </w:p>
    <w:p w:rsidR="00614C2D" w:rsidRDefault="00CA70C4" w:rsidP="00CA70C4">
      <w:pPr>
        <w:jc w:val="both"/>
      </w:pPr>
      <w:r>
        <w:t>Rashodi za zaposlene ostvareni su u ukupnom iznosu od 1.398.866,08, a sastoje se od plaća za redovan rad – šifra 3111 (1.130.967,50), plaća za prekovremeni rad – šifra 3113 (51.064,81), ostalih rashoda za zaposlene – šifra 312 (21.798,27) i doprinosa na plaće – šifra 313 (195.035,50). Rashodi za zaposlene su u odnosu na prethodno razdoblje povećani za 28</w:t>
      </w:r>
      <w:proofErr w:type="gramStart"/>
      <w:r>
        <w:t>,9</w:t>
      </w:r>
      <w:proofErr w:type="gramEnd"/>
      <w:r>
        <w:t xml:space="preserve">%. Broj zaposlenih je u 2025. </w:t>
      </w:r>
      <w:proofErr w:type="gramStart"/>
      <w:r>
        <w:t>povećan</w:t>
      </w:r>
      <w:proofErr w:type="gramEnd"/>
      <w:r>
        <w:t xml:space="preserve"> u odnosu na 2024. </w:t>
      </w:r>
      <w:proofErr w:type="gramStart"/>
      <w:r>
        <w:t>godinu</w:t>
      </w:r>
      <w:proofErr w:type="gramEnd"/>
      <w:r>
        <w:t xml:space="preserve"> (porast sa 28 na 31 zaposlena). Osim porasta broja zaposlenih </w:t>
      </w:r>
      <w:proofErr w:type="gramStart"/>
      <w:r>
        <w:t>na</w:t>
      </w:r>
      <w:proofErr w:type="gramEnd"/>
      <w:r>
        <w:t xml:space="preserve"> povećanje rashoda za zaposlene utjecao je porast osnovice za obračun plaća državnih službenika i namještenika sa 1. </w:t>
      </w:r>
      <w:proofErr w:type="gramStart"/>
      <w:r>
        <w:t>veljače</w:t>
      </w:r>
      <w:proofErr w:type="gramEnd"/>
      <w:r>
        <w:t xml:space="preserve"> 2025. </w:t>
      </w:r>
      <w:proofErr w:type="gramStart"/>
      <w:r>
        <w:t>i</w:t>
      </w:r>
      <w:proofErr w:type="gramEnd"/>
      <w:r>
        <w:t xml:space="preserve"> 1. </w:t>
      </w:r>
      <w:proofErr w:type="gramStart"/>
      <w:r>
        <w:t>rujna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 te nešto veći broj ostvarenih sati prekovremenog rada u 2025. </w:t>
      </w:r>
      <w:proofErr w:type="gramStart"/>
      <w:r>
        <w:t>godini</w:t>
      </w:r>
      <w:proofErr w:type="gramEnd"/>
      <w:r>
        <w:t xml:space="preserve">. Isto tako za cijelu 2025. </w:t>
      </w:r>
      <w:proofErr w:type="gramStart"/>
      <w:r>
        <w:t>godini</w:t>
      </w:r>
      <w:proofErr w:type="gramEnd"/>
      <w:r>
        <w:t xml:space="preserve"> su plaće za državne dužnosnike obračunavane po povećanoj osnovici (rast osnovice sa iznosa od 516,29 eura na iznos od 947,18 eura temeljem Odluke o visini osnovice za obračun plaća državnih dužnosnika koja je stupila na snagu 25. srpnja 2024. godine).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37.195,10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51.064,81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137,3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 xml:space="preserve">Plaće za prekovremeni rad su u 2025. </w:t>
      </w:r>
      <w:proofErr w:type="gramStart"/>
      <w:r>
        <w:t>godini</w:t>
      </w:r>
      <w:proofErr w:type="gramEnd"/>
      <w:r>
        <w:t xml:space="preserve"> ostvarene u iznosu od 51.064,81 i u odnosu na prethodnu godinu su povećane. Do povećanja je došlo zbog povećanja osnovice za obračun plaća državnih službenika i namještenika u dva navrata tijekom 2025. </w:t>
      </w:r>
      <w:proofErr w:type="gramStart"/>
      <w:r>
        <w:t>godine</w:t>
      </w:r>
      <w:proofErr w:type="gramEnd"/>
      <w:r>
        <w:t xml:space="preserve">. Prekovremeni sati se najvećim dijelom odnose </w:t>
      </w:r>
      <w:proofErr w:type="gramStart"/>
      <w:r>
        <w:t>na</w:t>
      </w:r>
      <w:proofErr w:type="gramEnd"/>
      <w:r>
        <w:t xml:space="preserve"> provedbu lokalnih izbora, te provedbu nadzora financiranja izborne promidžbe u 2025. </w:t>
      </w:r>
      <w:proofErr w:type="gramStart"/>
      <w:r>
        <w:t>godini</w:t>
      </w:r>
      <w:proofErr w:type="gramEnd"/>
      <w:r>
        <w:t xml:space="preserve"> a što se u jednom dijelu odnosnilo na izbore provedene tijekom 2024. </w:t>
      </w:r>
      <w:proofErr w:type="gramStart"/>
      <w:r>
        <w:t>godine</w:t>
      </w:r>
      <w:proofErr w:type="gramEnd"/>
      <w:r>
        <w:t xml:space="preserve">, te na izbore provedene tijekom 2025. </w:t>
      </w:r>
      <w:proofErr w:type="gramStart"/>
      <w:r>
        <w:t>godine</w:t>
      </w:r>
      <w:proofErr w:type="gramEnd"/>
      <w:r>
        <w:t>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19.428,51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21.798,27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>Ostali rashoda za zaposlene ostvareni su u iznosu od 21.798,27 te su u odnosu na prethodnu godinu neznatno povećani, a odnose se na rashode za isplatu regresa, prigodnog dara djeci, božićnice, uskrsnice, nagrade zaposlenicima (vezano uz radni staž) te pomoći za smrtni slučaj, bolovanje te rođenje djeteta.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7.253.633,64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3.329.406,38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45,9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>Materijalni rashodi ostvareni su u ukupnom iznosu od 3.329.406,38, a odnose se na naknade troškova zaposlenima – šifra 3211 do 3214 (42.045,71), rashode za materijal i energiju – šifra 3221 do 3227 (26.657,06), rashode za usluge – šifra 3231 do 3239 (3.064.35,46), naknade troškova osobama izvan radnog odnosa – šifra 324 (64.229,47), te ostale nespomenute rashode poslovanja – šifra 3291 do 3299 (132.238,68). U odnosu na prethodnu godinu materijalni rashodi su ostvareni u manjem iznosu za 54</w:t>
      </w:r>
      <w:proofErr w:type="gramStart"/>
      <w:r>
        <w:t>,1</w:t>
      </w:r>
      <w:proofErr w:type="gramEnd"/>
      <w:r>
        <w:t xml:space="preserve">%. Skoro sve pozicije materijalnih rashoda ostvarene su u manjem iznosu u odnosu </w:t>
      </w:r>
      <w:proofErr w:type="gramStart"/>
      <w:r>
        <w:t>na</w:t>
      </w:r>
      <w:proofErr w:type="gramEnd"/>
      <w:r>
        <w:t xml:space="preserve"> razdoblje prethodne godine.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38.164,45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42.045,71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110,2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>Naknade troškova zaposlenima u ukupnom iznosu od 42.045,71 odnose se na naknade za službena putovanja (28.962</w:t>
      </w:r>
      <w:proofErr w:type="gramStart"/>
      <w:r>
        <w:t>,01</w:t>
      </w:r>
      <w:proofErr w:type="gramEnd"/>
      <w:r>
        <w:t>), naknade za prijevoz, za rad na terenu i odvojeni život (11.890,70) te stručno usavršavanje zaposlenika (1.193,00). </w:t>
      </w:r>
    </w:p>
    <w:p w:rsidR="00614C2D" w:rsidRDefault="00CA70C4">
      <w:pPr>
        <w:jc w:val="both"/>
      </w:pPr>
      <w:r>
        <w:t xml:space="preserve">Službena putovanja – šifra 3211 ostvarena su u 2025. </w:t>
      </w:r>
      <w:proofErr w:type="gramStart"/>
      <w:r>
        <w:t>godini</w:t>
      </w:r>
      <w:proofErr w:type="gramEnd"/>
      <w:r>
        <w:t xml:space="preserve"> u iznosu od 28.962,01 te su u odnosu na prethodnu godinu nešto su povećana. Do odstupanja </w:t>
      </w:r>
      <w:proofErr w:type="gramStart"/>
      <w:r>
        <w:t>od</w:t>
      </w:r>
      <w:proofErr w:type="gramEnd"/>
      <w:r>
        <w:t xml:space="preserve"> ostvarenja u izvještajnom razdoblju prethodne godine došlo je zbog nešto većih izdvajanja za troškove službenog putovanja (aviokarte, dnevnice, trošak smještaja) vezanih uz izbornu i redovnu aktivnost Državnog izbornog povjerenstva (promatranje izbora, sudjelovanje na sastancima u Europskoj komisiji, održavanja edukacija mladih birača, edukacije izbornih povjerenstava).</w:t>
      </w:r>
    </w:p>
    <w:p w:rsidR="00614C2D" w:rsidRDefault="00CA70C4">
      <w:pPr>
        <w:jc w:val="both"/>
      </w:pPr>
      <w:r>
        <w:t>Naknade za prijevoz, za rad na terenu i odvojeni život – šifra 3212 ostvareni su u iznosu od 11.890,70, te su u odnosu na prethodnu godinu povećani za 9</w:t>
      </w:r>
      <w:proofErr w:type="gramStart"/>
      <w:r>
        <w:t>,0</w:t>
      </w:r>
      <w:proofErr w:type="gramEnd"/>
      <w:r>
        <w:t xml:space="preserve">%. Do odstupanja </w:t>
      </w:r>
      <w:proofErr w:type="gramStart"/>
      <w:r>
        <w:t>od</w:t>
      </w:r>
      <w:proofErr w:type="gramEnd"/>
      <w:r>
        <w:t xml:space="preserve"> ostvarenja u izvještajnom razdoblju prethodne godine došlo je zbog povećanih troškova za prijevoz, a vezano uz porast broja zaposlenih tijekom 2025. </w:t>
      </w:r>
      <w:proofErr w:type="gramStart"/>
      <w:r>
        <w:t>godine</w:t>
      </w:r>
      <w:proofErr w:type="gramEnd"/>
      <w:r>
        <w:t>. </w:t>
      </w:r>
    </w:p>
    <w:p w:rsidR="00614C2D" w:rsidRDefault="00CA70C4">
      <w:pPr>
        <w:jc w:val="both"/>
      </w:pPr>
      <w:r>
        <w:t>Stručno usavršavanje zaposlenika – šifra 3213 u iznosu od 1.193,00 odnosi se na rashode za sudjelovanje zaposlenih na stručnim seminarima, on-line seminarima i sl., a u odnosu na prethodnu godinu ovi su rashodi neznatno smanjeni za 3</w:t>
      </w:r>
      <w:proofErr w:type="gramStart"/>
      <w:r>
        <w:t>,8</w:t>
      </w:r>
      <w:proofErr w:type="gramEnd"/>
      <w:r>
        <w:t>%. </w:t>
      </w:r>
    </w:p>
    <w:p w:rsidR="00614C2D" w:rsidRDefault="00614C2D"/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58.988,01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26.657,06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45,2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 xml:space="preserve">Rashodi za materijal i energiju su u 2025. </w:t>
      </w:r>
      <w:proofErr w:type="gramStart"/>
      <w:r>
        <w:t>godini</w:t>
      </w:r>
      <w:proofErr w:type="gramEnd"/>
      <w:r>
        <w:t xml:space="preserve"> ostvareni u iznosu od 26.657,06 te su u odnosu na prethodnu godinu smanjeni za 54,8 %. Sastoje se od uredskog materijala i ostalih materijalnih rashoda – šifra 3221 (11.128,86), energije – šifra 3223 (14.277,46), materijala i dijelova za tekuće i investicijsko održavanje – šifra 3224 (478,24) te sitnog inventara i auto guma – šifra 3225 (722,50).</w:t>
      </w:r>
    </w:p>
    <w:p w:rsidR="00614C2D" w:rsidRDefault="00CA70C4">
      <w:pPr>
        <w:jc w:val="both"/>
      </w:pPr>
      <w:r>
        <w:t xml:space="preserve">Uredski materijal i ostali materijalni rashodi – šifra 3221 u iznosu </w:t>
      </w:r>
      <w:proofErr w:type="gramStart"/>
      <w:r>
        <w:t>od</w:t>
      </w:r>
      <w:proofErr w:type="gramEnd"/>
      <w:r>
        <w:t xml:space="preserve"> 11.128,86 značajno su smanjeni u odnosu na prethodnu godinu. Do odstupanja </w:t>
      </w:r>
      <w:proofErr w:type="gramStart"/>
      <w:r>
        <w:t>od</w:t>
      </w:r>
      <w:proofErr w:type="gramEnd"/>
      <w:r>
        <w:t xml:space="preserve"> ostvarenja u izvještajnom razdoblju prethodne godine došlo je zbog provedbe manjeg broja izbora na državnoj razini u tekućoj godini. </w:t>
      </w:r>
    </w:p>
    <w:p w:rsidR="00614C2D" w:rsidRDefault="00CA70C4">
      <w:pPr>
        <w:jc w:val="both"/>
      </w:pPr>
      <w:r>
        <w:t>Energija – šifra 3223 u ukupnom iznosu od 14.277,46 troškovi energije su u odnosu na prethodnu godinu smanjeni za 11</w:t>
      </w:r>
      <w:proofErr w:type="gramStart"/>
      <w:r>
        <w:t>,5</w:t>
      </w:r>
      <w:proofErr w:type="gramEnd"/>
      <w:r>
        <w:t xml:space="preserve">%. Do odstupanja </w:t>
      </w:r>
      <w:proofErr w:type="gramStart"/>
      <w:r>
        <w:t>od</w:t>
      </w:r>
      <w:proofErr w:type="gramEnd"/>
      <w:r>
        <w:t xml:space="preserve"> ostvarenja u izvještajnom razdoblju u odnosu na prethodnu godine došlo je zbog smanjenja utroška električne energije i plina.</w:t>
      </w:r>
    </w:p>
    <w:p w:rsidR="00614C2D" w:rsidRDefault="00CA70C4">
      <w:pPr>
        <w:jc w:val="both"/>
      </w:pPr>
      <w:r>
        <w:t>Materijal i dijelovi za tekuće i investicijsko održavanje – šifra 3224 u iznosu od 478</w:t>
      </w:r>
      <w:proofErr w:type="gramStart"/>
      <w:r>
        <w:t>,24</w:t>
      </w:r>
      <w:proofErr w:type="gramEnd"/>
      <w:r>
        <w:t xml:space="preserve"> u cijelosti se odnose na materijal i dijelove za održavanje poslovne zgrade i opreme. Ovi troškovi odnose se </w:t>
      </w:r>
      <w:proofErr w:type="gramStart"/>
      <w:r>
        <w:t>na</w:t>
      </w:r>
      <w:proofErr w:type="gramEnd"/>
      <w:r>
        <w:t xml:space="preserve"> nabavu materijala i rezernih dijelova za održavanje objekta i opreme koje je domar mogao odraditi samostalno bez korištenja usluga vanjskih dobavljača. U odnosu </w:t>
      </w:r>
      <w:proofErr w:type="gramStart"/>
      <w:r>
        <w:t>na</w:t>
      </w:r>
      <w:proofErr w:type="gramEnd"/>
      <w:r>
        <w:t xml:space="preserve"> prethodnu godinu ovi su troškovi nešto smanjeni.</w:t>
      </w:r>
    </w:p>
    <w:p w:rsidR="00614C2D" w:rsidRDefault="00CA70C4">
      <w:pPr>
        <w:jc w:val="both"/>
      </w:pPr>
      <w:r>
        <w:t>Sitni inventar i auto gume – šifra 3225 u iznosu od 722</w:t>
      </w:r>
      <w:proofErr w:type="gramStart"/>
      <w:r>
        <w:t>,50</w:t>
      </w:r>
      <w:proofErr w:type="gramEnd"/>
      <w:r>
        <w:t xml:space="preserve"> odnosi se u cijelosti na nabavu sitnog inventara. Tijekom 2025. </w:t>
      </w:r>
      <w:proofErr w:type="gramStart"/>
      <w:r>
        <w:t>godine</w:t>
      </w:r>
      <w:proofErr w:type="gramEnd"/>
      <w:r>
        <w:t xml:space="preserve"> nabavljene su zastave Republike Hrvatske i Europske unije te auto gume. Do odstupanja od ostvarenja u izvještajnom razdoblju prethodne godine došlo je upravo zbog </w:t>
      </w:r>
      <w:proofErr w:type="gramStart"/>
      <w:r>
        <w:t>nabave  auto</w:t>
      </w:r>
      <w:proofErr w:type="gramEnd"/>
      <w:r>
        <w:t xml:space="preserve"> guma.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6.677.224,62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3.064.235,46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45,9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 xml:space="preserve">Rashodi za usluge su u 2025. </w:t>
      </w:r>
      <w:proofErr w:type="gramStart"/>
      <w:r>
        <w:t>godini</w:t>
      </w:r>
      <w:proofErr w:type="gramEnd"/>
      <w:r>
        <w:t xml:space="preserve"> ostvareni u iznosu od 3.064.235,46 i najznačajnija su stavka ukupnih materijalnih rashoda Državnog izbornog povjerenstva. U odnosu na prethodnu godinu rashodi za usluge smanjeni su za 54</w:t>
      </w:r>
      <w:proofErr w:type="gramStart"/>
      <w:r>
        <w:t>,1</w:t>
      </w:r>
      <w:proofErr w:type="gramEnd"/>
      <w:r>
        <w:t xml:space="preserve">%, razlog tome je provedba manjeg broja izbora na državnoj razini u 2025. </w:t>
      </w:r>
      <w:proofErr w:type="gramStart"/>
      <w:r>
        <w:t>godini</w:t>
      </w:r>
      <w:proofErr w:type="gramEnd"/>
      <w:r>
        <w:t xml:space="preserve"> u odnosu na prethodnu godinu.</w:t>
      </w:r>
    </w:p>
    <w:p w:rsidR="00614C2D" w:rsidRDefault="00CA70C4">
      <w:pPr>
        <w:jc w:val="both"/>
      </w:pPr>
      <w:proofErr w:type="gramStart"/>
      <w:r>
        <w:t>Rashodi za usluge se sastoje od rashoda za usluge telefona, pošte, prijevoza – šifra 3231 (23.201,92), usluge tekućeg i investicijskog održavanja – šifra 3232 (16.001,54), usluge promidžbe i informiranja – šifra 3233 (3.008,82), komunalne usluge – šifra 3234 (6.78,33), zakupnine i najamnine – šifra 3235 (77.371,98), zdravstvene i veterinarske usluge – šifra 3236 (1.747,45), intelektualne i osobne usluge – šifra 3237 (240.498,58), računalne usluge – šifra 3238 (2.396.694,20) i ostale usluge – šifra 3239 (298.929,64).</w:t>
      </w:r>
      <w:proofErr w:type="gramEnd"/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84.003,28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23.201,92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27,6</w:t>
            </w:r>
          </w:p>
        </w:tc>
      </w:tr>
    </w:tbl>
    <w:p w:rsidR="00614C2D" w:rsidRDefault="00614C2D">
      <w:pPr>
        <w:spacing w:after="0"/>
      </w:pPr>
    </w:p>
    <w:p w:rsidR="00614C2D" w:rsidRDefault="00CA70C4">
      <w:r>
        <w:t xml:space="preserve">Usluge telefona, pošte i prijevoza su u 2025. </w:t>
      </w:r>
      <w:proofErr w:type="gramStart"/>
      <w:r>
        <w:t>godini</w:t>
      </w:r>
      <w:proofErr w:type="gramEnd"/>
      <w:r>
        <w:t xml:space="preserve"> ostvarene u iznosu od 23.201,92, odnosno za 72,4% manje u odnosu na prethodnu godinu. Do smanjenja u 2025. </w:t>
      </w:r>
      <w:proofErr w:type="gramStart"/>
      <w:r>
        <w:t>je</w:t>
      </w:r>
      <w:proofErr w:type="gramEnd"/>
      <w:r>
        <w:t xml:space="preserve"> došlo zbog provedbe većeg broja izbora u 2024. </w:t>
      </w:r>
      <w:proofErr w:type="gramStart"/>
      <w:r>
        <w:t>godini  i</w:t>
      </w:r>
      <w:proofErr w:type="gramEnd"/>
      <w:r>
        <w:t xml:space="preserve"> povećanih izdvajanja za telekomunikacijske i poštanske usluge prvenstveno vezanih za provedbu izbora u inozemstvu. 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16.009,46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16.001,54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 xml:space="preserve">Usluge tekućeg i investicijskog održavanja su u 2025. </w:t>
      </w:r>
      <w:proofErr w:type="gramStart"/>
      <w:r>
        <w:t>godini</w:t>
      </w:r>
      <w:proofErr w:type="gramEnd"/>
      <w:r>
        <w:t xml:space="preserve"> ostvarene u iznosu od 16.001,54. U odnosu </w:t>
      </w:r>
      <w:proofErr w:type="gramStart"/>
      <w:r>
        <w:t>na</w:t>
      </w:r>
      <w:proofErr w:type="gramEnd"/>
      <w:r>
        <w:t xml:space="preserve"> prethodnu godinu usluge tekućeg i investicijskog održavanja ostale su na istoj razini. Najznačajniji stavke u uslugama tekućeg održavanja čine usluge održavanja kotlovnice i </w:t>
      </w:r>
      <w:proofErr w:type="gramStart"/>
      <w:r>
        <w:t>te</w:t>
      </w:r>
      <w:proofErr w:type="gramEnd"/>
      <w:r>
        <w:t xml:space="preserve"> održavanje telekomunikacijskog sustava i centrale.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370.916,60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0,8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 xml:space="preserve">Usluge promidžbe i informiranja su u 2025. </w:t>
      </w:r>
      <w:proofErr w:type="gramStart"/>
      <w:r>
        <w:t>godini</w:t>
      </w:r>
      <w:proofErr w:type="gramEnd"/>
      <w:r>
        <w:t xml:space="preserve"> ostvarene u ukupnom iznosu od 3.008,82 te su u odnosu na prethodno razdoblje značajno smanjene. Troškovi promidžbe i informiranja vezani za redovno poslovanje Državnog izbornog povjerenstva odnose se </w:t>
      </w:r>
      <w:proofErr w:type="gramStart"/>
      <w:r>
        <w:t>na</w:t>
      </w:r>
      <w:proofErr w:type="gramEnd"/>
      <w:r>
        <w:t xml:space="preserve"> troškove pristojbe Hrvatskoj radioteleviziji, troškove dostave dnevnih tiskovina, te objave oglasa za izgubljene pečate (općinskih i gradskih izbornih povjerenstava) i na objavu javnih natječaja za prijem u državnu službu koji su u odnosu na prethodnu godinu ostali na istoj razini. U 2025. </w:t>
      </w:r>
      <w:proofErr w:type="gramStart"/>
      <w:r>
        <w:t>godini</w:t>
      </w:r>
      <w:proofErr w:type="gramEnd"/>
      <w:r>
        <w:t xml:space="preserve"> nije bilo troškova promidžbe i informiranja vezanih uz izbornu aktivnost Državnog izbornog povjerenstva. U 2024. </w:t>
      </w:r>
      <w:proofErr w:type="gramStart"/>
      <w:r>
        <w:t>godini</w:t>
      </w:r>
      <w:proofErr w:type="gramEnd"/>
      <w:r>
        <w:t xml:space="preserve"> ti su troškovi, a koji se odnose na zakonsku obvezu objave u svim dnevnim novinama u Republici Hrvatskoj i na Hrvatskoj radioteleviziji svih pravovaljanih predloženih lista te imena i prezimena kandidata, odnosili na objavu vezanu uz izbore zastupnika u Hrvatski sabor, izbore članova u Europski parlament iz Republike Hrvatske te izbore za predsjednika Republike Hrvatske (za I. krug glasovanja).</w:t>
      </w:r>
    </w:p>
    <w:p w:rsidR="00614C2D" w:rsidRDefault="00CA70C4">
      <w:r>
        <w:t> 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5.938,90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6.781,33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 xml:space="preserve">Komunalne usluge u ukupnom iznosu </w:t>
      </w:r>
      <w:proofErr w:type="gramStart"/>
      <w:r>
        <w:t>od</w:t>
      </w:r>
      <w:proofErr w:type="gramEnd"/>
      <w:r>
        <w:t xml:space="preserve"> 6.781,33 odnose se troškove opskrbe vodom, nabave prirodne izvorske vode (za aparate za vodu), iznošenje i odvoz komunalnog otpada, dimnjačarske usluge, deratizacijske usluge te ostale komalne usluge. U odnosu na prethodnu godinu povećane su za 14</w:t>
      </w:r>
      <w:proofErr w:type="gramStart"/>
      <w:r>
        <w:t>,2</w:t>
      </w:r>
      <w:proofErr w:type="gramEnd"/>
      <w:r>
        <w:t>%, a do povćanja je došlo jer je došlo do porasta cijene pojedinih komunalnih usluga.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113.839,18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77.371,98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68,0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>Zakupnine i najamnine u ukupnom iznosu od 77.371,98 su u odnosu na prethodnu godinu smanjene za 32</w:t>
      </w:r>
      <w:proofErr w:type="gramStart"/>
      <w:r>
        <w:t>,0</w:t>
      </w:r>
      <w:proofErr w:type="gramEnd"/>
      <w:r>
        <w:t xml:space="preserve">%. Najmnine vezane za redovno poslovanje Državnog izbornog povjerenstva odnose se </w:t>
      </w:r>
      <w:proofErr w:type="gramStart"/>
      <w:r>
        <w:t>na</w:t>
      </w:r>
      <w:proofErr w:type="gramEnd"/>
      <w:r>
        <w:t xml:space="preserve"> najam kopirnih uređaja, najam arhivskog prostora, najam aparata za vodu, najam sustava eUred za uredsko poslovanje te najam stana za potrebe smještaja dužnosnika te su u 2025. </w:t>
      </w:r>
      <w:proofErr w:type="gramStart"/>
      <w:r>
        <w:t>godini</w:t>
      </w:r>
      <w:proofErr w:type="gramEnd"/>
      <w:r>
        <w:t xml:space="preserve"> iznosile su 29.209,80. U odnosu </w:t>
      </w:r>
      <w:proofErr w:type="gramStart"/>
      <w:r>
        <w:t>na</w:t>
      </w:r>
      <w:proofErr w:type="gramEnd"/>
      <w:r>
        <w:t xml:space="preserve"> izvještajno razdoblje prethode godine troškovi zakupnina i najamnina vezani uz obavljanje izborne aktivnosti Državnog izbornog povjerenstva su smanjeni jer su u 2025. </w:t>
      </w:r>
      <w:proofErr w:type="gramStart"/>
      <w:r>
        <w:t>izdvajanja</w:t>
      </w:r>
      <w:proofErr w:type="gramEnd"/>
      <w:r>
        <w:t xml:space="preserve"> za ove troškove bila znatno manja. Ti troškovi vezani uz izbornu aktivnost ostvareni su u 2025. </w:t>
      </w:r>
      <w:proofErr w:type="gramStart"/>
      <w:r>
        <w:t>godinu</w:t>
      </w:r>
      <w:proofErr w:type="gramEnd"/>
      <w:r>
        <w:t xml:space="preserve"> u iznosu od 50.570,29, a odnosili su se na najam prostora za potrebe provedbe izbora – održavanje konferencija za tisak te najam prostora i opreme vezan uz provođenje II. </w:t>
      </w:r>
      <w:proofErr w:type="gramStart"/>
      <w:r>
        <w:t>kruga</w:t>
      </w:r>
      <w:proofErr w:type="gramEnd"/>
      <w:r>
        <w:t xml:space="preserve"> izbora za predsjednika Republike Hrvatske u inozemstvu.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180,3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 xml:space="preserve">Zdravstvene i veterinarske usluge u iznosu </w:t>
      </w:r>
      <w:proofErr w:type="gramStart"/>
      <w:r>
        <w:t>od</w:t>
      </w:r>
      <w:proofErr w:type="gramEnd"/>
      <w:r>
        <w:t xml:space="preserve"> 1.747,45 se u cijelosti odnose na troškove obveznih sistematskih pregleda u skladu sa pravima iz Kolektivnog ugovora za državne službenike i namještenike te na obvezne zdravstvene preglede kod novih zapošljavanja. Do odstupanja </w:t>
      </w:r>
      <w:proofErr w:type="gramStart"/>
      <w:r>
        <w:t>od</w:t>
      </w:r>
      <w:proofErr w:type="gramEnd"/>
      <w:r>
        <w:t xml:space="preserve"> ostvarenja u izvještajnom razdoblju prethodne godine došlo je zbog većeg broja službenika, u odnosu na 2024. </w:t>
      </w:r>
      <w:proofErr w:type="gramStart"/>
      <w:r>
        <w:t>godinu</w:t>
      </w:r>
      <w:proofErr w:type="gramEnd"/>
      <w:r>
        <w:t xml:space="preserve">, koji su obvezni sistematski pregled obavili u 2025. </w:t>
      </w:r>
      <w:proofErr w:type="gramStart"/>
      <w:r>
        <w:t>godini</w:t>
      </w:r>
      <w:proofErr w:type="gramEnd"/>
      <w:r>
        <w:t>.</w:t>
      </w:r>
    </w:p>
    <w:p w:rsidR="00614C2D" w:rsidRDefault="00614C2D"/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240.556,21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240.498,58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 xml:space="preserve">Intelektualne i osobne usluge u iznosu </w:t>
      </w:r>
      <w:proofErr w:type="gramStart"/>
      <w:r>
        <w:t>od</w:t>
      </w:r>
      <w:proofErr w:type="gramEnd"/>
      <w:r>
        <w:t xml:space="preserve"> 240.498,58 i u odnosu na prethodnu godinu su ostale na istoj razini. Intelektualne i osobne usluge vezane za redovno poslovanje Državnog izbornog povjerenstva iznose su 5.010,83, a odnose se </w:t>
      </w:r>
      <w:proofErr w:type="gramStart"/>
      <w:r>
        <w:t>na</w:t>
      </w:r>
      <w:proofErr w:type="gramEnd"/>
      <w:r>
        <w:t xml:space="preserve"> troškove student servisa, na ostale osobne usluge vezane uz provođenje zaštite na radu te na ostale intelektualne usluge (provjere vjerodostojnosti diploma za novo zaposlene, izrada popisa arhivskog gradiva). Intelektualne i osobne usluge vezane uz obavljanje izborne aktivnosti Državnog izbornog povjerenstva odnose se </w:t>
      </w:r>
      <w:proofErr w:type="gramStart"/>
      <w:r>
        <w:t>na</w:t>
      </w:r>
      <w:proofErr w:type="gramEnd"/>
      <w:r>
        <w:t xml:space="preserve"> naknade za rad informatičkim koordinatorima i djelatnicima Porezne uprave angažiranim za rad na izborima za predsjednika Republike Hrvatske i lokalnim izborima, uslugu analize i praćenja medijskog sadržaja te usluge student servisa, a u 2025. </w:t>
      </w:r>
      <w:proofErr w:type="gramStart"/>
      <w:r>
        <w:t>godini</w:t>
      </w:r>
      <w:proofErr w:type="gramEnd"/>
      <w:r>
        <w:t xml:space="preserve"> su iznosile 235.487,75.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4.083.289,18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2.396.694,20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58,7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>Računalne usluge u iznosu od 2.396.694</w:t>
      </w:r>
      <w:proofErr w:type="gramStart"/>
      <w:r>
        <w:t>,20</w:t>
      </w:r>
      <w:proofErr w:type="gramEnd"/>
      <w:r>
        <w:t xml:space="preserve"> su u odnosu na prethodnu godinu značajno smanjene i to za 41,3 %. Do odstupanja od ostvarenja u izvještajnom razdoblju u odnosu na izvještajno razdoblje prethodne godine došlo je zbog smanjenih izdataka za računalne usluge vezane uz informatičku podršku provođenju izbora na državnoj razini i na prijevremenim lokalnim izborima koje su iznosile 2.247.467</w:t>
      </w:r>
      <w:proofErr w:type="gramStart"/>
      <w:r>
        <w:t>,26</w:t>
      </w:r>
      <w:proofErr w:type="gramEnd"/>
      <w:r>
        <w:t>, dok je taj iznos u prethodnoj godini bio znatno veći. U ukupnim računalnim uslugama usluge vezane uz izbornu aktivnost čine 93</w:t>
      </w:r>
      <w:proofErr w:type="gramStart"/>
      <w:r>
        <w:t>,7</w:t>
      </w:r>
      <w:proofErr w:type="gramEnd"/>
      <w:r>
        <w:t xml:space="preserve"> %. 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1.761.702,81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298.929,64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17,0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>Ostale usluge u iznosu od 298.929,64 su u odnosu na prethodnu godinu znatno smanjene za 83</w:t>
      </w:r>
      <w:proofErr w:type="gramStart"/>
      <w:r>
        <w:t>,0</w:t>
      </w:r>
      <w:proofErr w:type="gramEnd"/>
      <w:r>
        <w:t xml:space="preserve"> %. Do odstupanja </w:t>
      </w:r>
      <w:proofErr w:type="gramStart"/>
      <w:r>
        <w:t>od</w:t>
      </w:r>
      <w:proofErr w:type="gramEnd"/>
      <w:r>
        <w:t xml:space="preserve"> ostvarenja u izvještajnom razdoblju prethodne godine došlo je zbog smanjenih izdataka za tisak i distribuciju glasačkih listića, obrazaca, glasačkih kutija, pregrada, brošura i ostalog materijala. U 2025. </w:t>
      </w:r>
      <w:proofErr w:type="gramStart"/>
      <w:r>
        <w:t>godini</w:t>
      </w:r>
      <w:proofErr w:type="gramEnd"/>
      <w:r>
        <w:t xml:space="preserve"> taj je trošak vezan za provedbu II. </w:t>
      </w:r>
      <w:proofErr w:type="gramStart"/>
      <w:r>
        <w:t>kruga</w:t>
      </w:r>
      <w:proofErr w:type="gramEnd"/>
      <w:r>
        <w:t xml:space="preserve"> izbora za predsjednika Republike Hrvatske, dok je u 2024. </w:t>
      </w:r>
      <w:proofErr w:type="gramStart"/>
      <w:r>
        <w:t>taj</w:t>
      </w:r>
      <w:proofErr w:type="gramEnd"/>
      <w:r>
        <w:t xml:space="preserve"> trošak bio znatno veći zbog broja provedenih izbora ali i veličine tiskanih listića (što ovisi o broju izbornih kandidata). Ukupan trošak tiska izbornog materijala u 2025. </w:t>
      </w:r>
      <w:proofErr w:type="gramStart"/>
      <w:r>
        <w:t>godini</w:t>
      </w:r>
      <w:proofErr w:type="gramEnd"/>
      <w:r>
        <w:t xml:space="preserve"> čini 86,4 % troška ostalih usluga.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162.863,11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64.229,47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39,4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>Naknade troškova osobama izvan radnog odnosa</w:t>
      </w:r>
      <w:proofErr w:type="gramStart"/>
      <w:r>
        <w:t>  su</w:t>
      </w:r>
      <w:proofErr w:type="gramEnd"/>
      <w:r>
        <w:t xml:space="preserve"> ostvarene u iznosu od 64.229,47., te su u odnosu na prethodnu godinu znatno smanjene. U cijelosti se odnose </w:t>
      </w:r>
      <w:proofErr w:type="gramStart"/>
      <w:r>
        <w:t>na</w:t>
      </w:r>
      <w:proofErr w:type="gramEnd"/>
      <w:r>
        <w:t xml:space="preserve"> troškove vezane uz provedbu izbora u 2025. </w:t>
      </w:r>
      <w:proofErr w:type="gramStart"/>
      <w:r>
        <w:t>godini</w:t>
      </w:r>
      <w:proofErr w:type="gramEnd"/>
      <w:r>
        <w:t xml:space="preserve"> na biračkim mjestima u inozemstvu. Do odstupanja </w:t>
      </w:r>
      <w:proofErr w:type="gramStart"/>
      <w:r>
        <w:t>od</w:t>
      </w:r>
      <w:proofErr w:type="gramEnd"/>
      <w:r>
        <w:t xml:space="preserve"> ostvarenja u izvještajnom razdoblju prethodne godine došlo je zbog provedbe manjeg broja izbora na državnoj razini u tekućoj godini. 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316.393,45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132.238,68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41,8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 xml:space="preserve">Ostali nespomenuti rashodi poslovanja su u 2025. </w:t>
      </w:r>
      <w:proofErr w:type="gramStart"/>
      <w:r>
        <w:t>godini</w:t>
      </w:r>
      <w:proofErr w:type="gramEnd"/>
      <w:r>
        <w:t xml:space="preserve"> ostvareni u iznosu od 132.238,68. U odnosu na prethodnu godinu smanjeni su za 58</w:t>
      </w:r>
      <w:proofErr w:type="gramStart"/>
      <w:r>
        <w:t>,2</w:t>
      </w:r>
      <w:proofErr w:type="gramEnd"/>
      <w:r>
        <w:t xml:space="preserve"> %. Ostali nespomenuti rashodi poslovanja vezani uz izbornu aktivnost čine 45</w:t>
      </w:r>
      <w:proofErr w:type="gramStart"/>
      <w:r>
        <w:t>,7</w:t>
      </w:r>
      <w:proofErr w:type="gramEnd"/>
      <w:r>
        <w:t xml:space="preserve"> % ostalih nespomenutih rashoda poslovanja, a odnose se na naknade za rad povjerenstvu Ministarstva vanjskih i europskih poslova te ostale nespomenute rashode vezane uz provedbu izbora na biračkim mjestima u inozemstvu te na troškove reprezentacije. Ostali nespomenuti rashodi poslovanja koji nisu vezani uz provedbu izbora ostvareni su iznosu </w:t>
      </w:r>
      <w:proofErr w:type="gramStart"/>
      <w:r>
        <w:t>od</w:t>
      </w:r>
      <w:proofErr w:type="gramEnd"/>
      <w:r>
        <w:t xml:space="preserve"> 71.846,12 i odnose se na naknade za rad predstavničkih i izvršnih tijela, povjerenstava i slično, premije osiguranja, troškove reprezentacije, pristojbe i naknade te ostale nespomenute rashode poslovanja. 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11,2</w:t>
            </w:r>
          </w:p>
        </w:tc>
      </w:tr>
    </w:tbl>
    <w:p w:rsidR="00614C2D" w:rsidRDefault="00614C2D">
      <w:pPr>
        <w:spacing w:after="0"/>
      </w:pPr>
    </w:p>
    <w:p w:rsidR="00614C2D" w:rsidRDefault="00CA70C4" w:rsidP="00CA70C4">
      <w:pPr>
        <w:jc w:val="both"/>
      </w:pPr>
      <w:r>
        <w:t>Financijski rashodi</w:t>
      </w:r>
      <w:proofErr w:type="gramStart"/>
      <w:r>
        <w:t>  u</w:t>
      </w:r>
      <w:proofErr w:type="gramEnd"/>
      <w:r>
        <w:t xml:space="preserve"> 2025. </w:t>
      </w:r>
      <w:proofErr w:type="gramStart"/>
      <w:r>
        <w:t>godini</w:t>
      </w:r>
      <w:proofErr w:type="gramEnd"/>
      <w:r>
        <w:t xml:space="preserve"> ostvareni su u ukupnom iznosu od 0,19. Odnose se u cijelosti </w:t>
      </w:r>
      <w:proofErr w:type="gramStart"/>
      <w:r>
        <w:t>na</w:t>
      </w:r>
      <w:proofErr w:type="gramEnd"/>
      <w:r>
        <w:t xml:space="preserve"> ostale financijske rashode – šifra 343 - zateznu kamatu na doprinose. 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20.912.799,18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7.668.499,51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36,7</w:t>
            </w:r>
          </w:p>
        </w:tc>
      </w:tr>
    </w:tbl>
    <w:p w:rsidR="00614C2D" w:rsidRDefault="00614C2D">
      <w:pPr>
        <w:spacing w:after="0"/>
      </w:pPr>
    </w:p>
    <w:p w:rsidR="00614C2D" w:rsidRDefault="00CA70C4" w:rsidP="00CA70C4">
      <w:pPr>
        <w:jc w:val="both"/>
      </w:pPr>
      <w:r>
        <w:t xml:space="preserve">Pomoći </w:t>
      </w:r>
      <w:proofErr w:type="gramStart"/>
      <w:r>
        <w:t>dane</w:t>
      </w:r>
      <w:proofErr w:type="gramEnd"/>
      <w:r>
        <w:t xml:space="preserve"> u inozemstvo i unutar općeg proračuna u 2025. </w:t>
      </w:r>
      <w:proofErr w:type="gramStart"/>
      <w:r>
        <w:t>godini</w:t>
      </w:r>
      <w:proofErr w:type="gramEnd"/>
      <w:r>
        <w:t xml:space="preserve"> ostvarene su u iznosu od 7.668.499,51 a odnose se na pomoći dane unutar općeg proračuna – županijskim proračunima za pokriće troškova provedbe II. kruga izbora za predsjednika Republike Hrvatske za isplatu naknada za rad u gradskim, općinskim te županijskim izbornim povjerenstvima odnosno povjerenstvima izbornih jedinica, naknade za rad u biračkim odborima, naknade za rad osobama angažiranim za rad u stručnim timovima, te za materijalne troškove provedbe izbora na biračkim mjestima u Republici Hrvatskoj. U odnosu </w:t>
      </w:r>
      <w:proofErr w:type="gramStart"/>
      <w:r>
        <w:t>na</w:t>
      </w:r>
      <w:proofErr w:type="gramEnd"/>
      <w:r>
        <w:t xml:space="preserve"> isto razdoblje prethodne godine značajno su smanjene.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2.864.112,44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221.067,75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7,7</w:t>
            </w:r>
          </w:p>
        </w:tc>
      </w:tr>
    </w:tbl>
    <w:p w:rsidR="00614C2D" w:rsidRDefault="00614C2D">
      <w:pPr>
        <w:spacing w:after="0"/>
      </w:pPr>
    </w:p>
    <w:p w:rsidR="00614C2D" w:rsidRDefault="00CA70C4">
      <w:r>
        <w:t>Ostali rashodi</w:t>
      </w:r>
      <w:proofErr w:type="gramStart"/>
      <w:r>
        <w:t>  u</w:t>
      </w:r>
      <w:proofErr w:type="gramEnd"/>
      <w:r>
        <w:t xml:space="preserve"> 2025. </w:t>
      </w:r>
      <w:proofErr w:type="gramStart"/>
      <w:r>
        <w:t>godini</w:t>
      </w:r>
      <w:proofErr w:type="gramEnd"/>
      <w:r>
        <w:t xml:space="preserve"> ostvareni su u ukupnom iznosu od 221.067,75. Odnose se </w:t>
      </w:r>
      <w:proofErr w:type="gramStart"/>
      <w:r>
        <w:t>na</w:t>
      </w:r>
      <w:proofErr w:type="gramEnd"/>
      <w:r>
        <w:t xml:space="preserve"> obvezu temeljem odluka koje donosi Vlada Republike Hrvatske sukladno važećim zakonskim propisima i to: Odluke o visini naknade troškova izborne promidžbe za izbor predsjednika Republike Hrvatske (za dva kandidata). U odnosu </w:t>
      </w:r>
      <w:proofErr w:type="gramStart"/>
      <w:r>
        <w:t>na</w:t>
      </w:r>
      <w:proofErr w:type="gramEnd"/>
      <w:r>
        <w:t xml:space="preserve"> 2024. </w:t>
      </w:r>
      <w:proofErr w:type="gramStart"/>
      <w:r>
        <w:t>godinu</w:t>
      </w:r>
      <w:proofErr w:type="gramEnd"/>
      <w:r>
        <w:t xml:space="preserve"> smanjeni su za 92,3 % jer su izdvajanja za naknade troškova izborne promidžbe zbog broja provedenih izbora u 2024. </w:t>
      </w:r>
      <w:proofErr w:type="gramStart"/>
      <w:r>
        <w:t>godini</w:t>
      </w:r>
      <w:proofErr w:type="gramEnd"/>
      <w:r>
        <w:t xml:space="preserve"> bila znatno veća.</w:t>
      </w:r>
    </w:p>
    <w:p w:rsidR="00614C2D" w:rsidRDefault="00CA70C4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614C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184.605,71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104.089,98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56,4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 xml:space="preserve">Vrijednost imovine </w:t>
      </w:r>
      <w:proofErr w:type="gramStart"/>
      <w:r>
        <w:t>na</w:t>
      </w:r>
      <w:proofErr w:type="gramEnd"/>
      <w:r>
        <w:t xml:space="preserve"> dan 31. </w:t>
      </w:r>
      <w:proofErr w:type="gramStart"/>
      <w:r>
        <w:t>prosinca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 iznosi 104.089,98. Imovina se sastoji od nefinancijske imovine u iznosu od 103.352,05 i financijske imovine u iznosu od 737</w:t>
      </w:r>
      <w:proofErr w:type="gramStart"/>
      <w:r>
        <w:t>,93</w:t>
      </w:r>
      <w:proofErr w:type="gramEnd"/>
      <w:r>
        <w:t>.</w:t>
      </w:r>
    </w:p>
    <w:p w:rsidR="00614C2D" w:rsidRDefault="00CA70C4">
      <w:pPr>
        <w:jc w:val="both"/>
      </w:pPr>
      <w:r>
        <w:t>Nefinancijska imovina – šifra B002 u iznosu od 103.352,05 sastoji se od neproizvedene dugotrajne imovine (654</w:t>
      </w:r>
      <w:proofErr w:type="gramStart"/>
      <w:r>
        <w:t>,93</w:t>
      </w:r>
      <w:proofErr w:type="gramEnd"/>
      <w:r>
        <w:t>) i proizvedene dugotrajne imovine (97.343,99).</w:t>
      </w:r>
    </w:p>
    <w:p w:rsidR="00614C2D" w:rsidRDefault="00CA70C4">
      <w:pPr>
        <w:jc w:val="both"/>
      </w:pPr>
      <w:r>
        <w:t xml:space="preserve">Nabavna vrijednost nefinancijske imovine </w:t>
      </w:r>
      <w:proofErr w:type="gramStart"/>
      <w:r>
        <w:t>na</w:t>
      </w:r>
      <w:proofErr w:type="gramEnd"/>
      <w:r>
        <w:t xml:space="preserve"> dan 31. </w:t>
      </w:r>
      <w:proofErr w:type="gramStart"/>
      <w:r>
        <w:t>prosinca</w:t>
      </w:r>
      <w:proofErr w:type="gramEnd"/>
      <w:r>
        <w:t xml:space="preserve"> 2025. </w:t>
      </w:r>
      <w:proofErr w:type="gramStart"/>
      <w:r>
        <w:t>iznosi</w:t>
      </w:r>
      <w:proofErr w:type="gramEnd"/>
      <w:r>
        <w:t xml:space="preserve"> 708.106,26, a ispravak vrijednosti iznosi 604.754,21.</w:t>
      </w:r>
    </w:p>
    <w:p w:rsidR="00614C2D" w:rsidRDefault="00CA70C4">
      <w:pPr>
        <w:jc w:val="both"/>
      </w:pPr>
      <w:r>
        <w:t xml:space="preserve">Tijekom 2025. </w:t>
      </w:r>
      <w:proofErr w:type="gramStart"/>
      <w:r>
        <w:t>godine</w:t>
      </w:r>
      <w:proofErr w:type="gramEnd"/>
      <w:r>
        <w:t xml:space="preserve"> nabava nefinancijske imovine odnosi se na: uredsku opremu i namještaj, komunikacijsku opremu, prijevozno sredstvo u cestovnom prometu te ulaganja u računalne programe u ukupnom iznosu od 70.997,35.</w:t>
      </w:r>
    </w:p>
    <w:p w:rsidR="00614C2D" w:rsidRDefault="00CA70C4">
      <w:pPr>
        <w:jc w:val="both"/>
      </w:pPr>
      <w:r>
        <w:t xml:space="preserve">U odnosu </w:t>
      </w:r>
      <w:proofErr w:type="gramStart"/>
      <w:r>
        <w:t>na</w:t>
      </w:r>
      <w:proofErr w:type="gramEnd"/>
      <w:r>
        <w:t xml:space="preserve"> 1. </w:t>
      </w:r>
      <w:proofErr w:type="gramStart"/>
      <w:r>
        <w:t>siječnja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 knjigovodstvena vrijednost je smanjena za 60,2%, što je posljedica razlike većih ulaganja u nabavu proizvedene dugotrajne imovine i obračuna ispravka vrijednosti sukladno propisima za proračunsko računovodstvo te isknjiženja prodane, uništene ili na neki drugi način adekvatno zbrinute rashodovane imovine.</w:t>
      </w:r>
    </w:p>
    <w:p w:rsidR="00614C2D" w:rsidRDefault="00CA70C4">
      <w:pPr>
        <w:jc w:val="both"/>
      </w:pPr>
      <w:r>
        <w:t>Financijska imovina – šifra 1 u iznosu od 737</w:t>
      </w:r>
      <w:proofErr w:type="gramStart"/>
      <w:r>
        <w:t>,93</w:t>
      </w:r>
      <w:proofErr w:type="gramEnd"/>
      <w:r>
        <w:t xml:space="preserve"> odnosi se na potraživanja za naknade koje se refundiraju. U cijelosti se odnosi </w:t>
      </w:r>
      <w:proofErr w:type="gramStart"/>
      <w:r>
        <w:t>na</w:t>
      </w:r>
      <w:proofErr w:type="gramEnd"/>
      <w:r>
        <w:t xml:space="preserve"> ostala potraživanja – šifra 129, a koja se odnose potraživanja od HZZO-e za isplaćene naknade za vrijeme privremene nesposobnosti za rad – bolovanja.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614C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184.605,71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104.089,98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56,4</w:t>
            </w:r>
          </w:p>
        </w:tc>
      </w:tr>
    </w:tbl>
    <w:p w:rsidR="00614C2D" w:rsidRDefault="00614C2D">
      <w:pPr>
        <w:spacing w:after="0"/>
      </w:pPr>
    </w:p>
    <w:p w:rsidR="00614C2D" w:rsidRDefault="00CA70C4">
      <w:pPr>
        <w:jc w:val="both"/>
      </w:pPr>
      <w:r>
        <w:t xml:space="preserve">Vrijednost obveza i vlastitih izvora </w:t>
      </w:r>
      <w:proofErr w:type="gramStart"/>
      <w:r>
        <w:t>na</w:t>
      </w:r>
      <w:proofErr w:type="gramEnd"/>
      <w:r>
        <w:t xml:space="preserve"> dan 31. </w:t>
      </w:r>
      <w:proofErr w:type="gramStart"/>
      <w:r>
        <w:t>prosinca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 iznosi 104.089,98. Sastoje se od obveza za rashode poslovanja (120.106,37), obveza za predujmove, depozite, jamčevne pologe i tuđe prihode (737,93), odgođenog plaćanja rashoda (2.535,53) vlastitih izvora i ispravka vlastitih izvora (103.352,05) te rezultata poslovanja – manjka prihoda poslovanja (- 122.641,90).</w:t>
      </w:r>
    </w:p>
    <w:p w:rsidR="00614C2D" w:rsidRDefault="00CA70C4">
      <w:pPr>
        <w:jc w:val="both"/>
      </w:pPr>
      <w:r>
        <w:t>Obveze za rashode poslovanja – šifra 23 u iznosu od 120.106,37 sastoje se od obveza za zaposlene u iznosu od 103.424,09 i obveza za materijalne rashode u iznosu od 16.682,28.</w:t>
      </w:r>
    </w:p>
    <w:p w:rsidR="00614C2D" w:rsidRDefault="00CA70C4">
      <w:pPr>
        <w:jc w:val="both"/>
      </w:pPr>
      <w:r>
        <w:t xml:space="preserve">Obveze za zaposlene – šifra 231 odnose se </w:t>
      </w:r>
      <w:proofErr w:type="gramStart"/>
      <w:r>
        <w:t>na</w:t>
      </w:r>
      <w:proofErr w:type="gramEnd"/>
      <w:r>
        <w:t xml:space="preserve"> obveze za plaću za prosinac 2025. </w:t>
      </w:r>
      <w:proofErr w:type="gramStart"/>
      <w:r>
        <w:t>godine</w:t>
      </w:r>
      <w:proofErr w:type="gramEnd"/>
      <w:r>
        <w:t xml:space="preserve"> koje dospijevaju u siječnju 2026. </w:t>
      </w:r>
      <w:proofErr w:type="gramStart"/>
      <w:r>
        <w:t>godine</w:t>
      </w:r>
      <w:proofErr w:type="gramEnd"/>
      <w:r>
        <w:t xml:space="preserve"> kada su u cijelosti podmirene.</w:t>
      </w:r>
    </w:p>
    <w:p w:rsidR="00614C2D" w:rsidRDefault="00CA70C4">
      <w:pPr>
        <w:jc w:val="both"/>
      </w:pPr>
      <w:r>
        <w:t xml:space="preserve">Obveze za materijalne rashode – šifra 232 odnose se </w:t>
      </w:r>
      <w:proofErr w:type="gramStart"/>
      <w:r>
        <w:t>na</w:t>
      </w:r>
      <w:proofErr w:type="gramEnd"/>
      <w:r>
        <w:t xml:space="preserve"> obveze za prosinac 2025. </w:t>
      </w:r>
      <w:proofErr w:type="gramStart"/>
      <w:r>
        <w:t>za</w:t>
      </w:r>
      <w:proofErr w:type="gramEnd"/>
      <w:r>
        <w:t xml:space="preserve"> redovno poslovanje Državnog izbornog povjerenstva Republike Hrvatske (režijski troškovi, računalne usluge, poštanske usluge, usluge telefona i interneta te ostale rashode poslovanja) sa valutom dospijeća iz 2026. </w:t>
      </w:r>
      <w:proofErr w:type="gramStart"/>
      <w:r>
        <w:t>godine</w:t>
      </w:r>
      <w:proofErr w:type="gramEnd"/>
      <w:r>
        <w:t xml:space="preserve">, na obveze za naknade troškova zaposlenima – prijevoz s posla na posao i naknadu za nezapošljavanje invalida za prosinac 2025., te na obveze za naknade za rad povjerenstva za prosinac 2025. </w:t>
      </w:r>
      <w:proofErr w:type="gramStart"/>
      <w:r>
        <w:t>godine</w:t>
      </w:r>
      <w:proofErr w:type="gramEnd"/>
      <w:r>
        <w:t xml:space="preserve"> koje dospijevaju u siječnju 2026. </w:t>
      </w:r>
      <w:proofErr w:type="gramStart"/>
      <w:r>
        <w:t>godine</w:t>
      </w:r>
      <w:proofErr w:type="gramEnd"/>
      <w:r>
        <w:t xml:space="preserve"> kada su u cijelosti i podmirene.</w:t>
      </w:r>
    </w:p>
    <w:p w:rsidR="00614C2D" w:rsidRDefault="00CA70C4">
      <w:pPr>
        <w:jc w:val="both"/>
      </w:pPr>
      <w:r>
        <w:t>Obveze za predujmove, depozite, jamčevne pologe i tuđe prihode – šifra 27 u iznosu od 737</w:t>
      </w:r>
      <w:proofErr w:type="gramStart"/>
      <w:r>
        <w:t>,93</w:t>
      </w:r>
      <w:proofErr w:type="gramEnd"/>
      <w:r>
        <w:t xml:space="preserve"> u cijelosti se odnose na obveze proračunskih korisnika za povrat u proračun – bolovanje HZZO. </w:t>
      </w:r>
    </w:p>
    <w:p w:rsidR="00614C2D" w:rsidRDefault="00CA70C4">
      <w:pPr>
        <w:jc w:val="both"/>
      </w:pPr>
      <w:r>
        <w:t xml:space="preserve">Odgođeno plaćanje rashoda i prihodi budućih razdoblja (pasivna vremenska razgraničenja) – šifra 29 u iznosu </w:t>
      </w:r>
      <w:proofErr w:type="gramStart"/>
      <w:r>
        <w:t>od</w:t>
      </w:r>
      <w:proofErr w:type="gramEnd"/>
      <w:r>
        <w:t xml:space="preserve"> 2.535,53 u cijelosti se odnose na obračunate rashode koji nisu fakturirani, a terete tekuće razdoblje. Odnose se </w:t>
      </w:r>
      <w:proofErr w:type="gramStart"/>
      <w:r>
        <w:t>na</w:t>
      </w:r>
      <w:proofErr w:type="gramEnd"/>
      <w:r>
        <w:t xml:space="preserve"> obveze za prosinac 2025. </w:t>
      </w:r>
      <w:proofErr w:type="gramStart"/>
      <w:r>
        <w:t>godine</w:t>
      </w:r>
      <w:proofErr w:type="gramEnd"/>
      <w:r>
        <w:t xml:space="preserve"> za koje nisu primljeni računi u 2025. </w:t>
      </w:r>
      <w:proofErr w:type="gramStart"/>
      <w:r>
        <w:t>godini</w:t>
      </w:r>
      <w:proofErr w:type="gramEnd"/>
      <w:r>
        <w:t xml:space="preserve"> te se odnose na računalne usluge – održavanje IT sustava (2.000,00), usluge tekućeg održavanja – nadzor toplovodne kotlovnice (420,00) te usluge promidžbe i informiranja – kupnja tiskovina (115,53).</w:t>
      </w:r>
    </w:p>
    <w:p w:rsidR="00614C2D" w:rsidRDefault="00614C2D"/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(=0)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A70C4" w:rsidRPr="00CA70C4" w:rsidRDefault="00CA70C4" w:rsidP="00CA70C4">
      <w:pPr>
        <w:spacing w:after="0"/>
        <w:jc w:val="both"/>
        <w:rPr>
          <w:sz w:val="16"/>
          <w:szCs w:val="16"/>
        </w:rPr>
      </w:pPr>
      <w:bookmarkStart w:id="0" w:name="_GoBack"/>
    </w:p>
    <w:bookmarkEnd w:id="0"/>
    <w:p w:rsidR="00614C2D" w:rsidRDefault="00CA70C4" w:rsidP="00CA70C4">
      <w:pPr>
        <w:spacing w:after="240"/>
        <w:jc w:val="both"/>
      </w:pPr>
      <w:proofErr w:type="gramStart"/>
      <w:r>
        <w:t>U iznosu od 5.083,66 odnose se na – primljenu garanciju za otklanjanje nedostataka u jamstvenom roku, temeljem Ugovora o izvođenju građevinskih radova na sanaciji oštećenja od potresa, izdanu od strane Zagrebačke banke d.d. za izvođača radova – društvo Ta-Grad d.o.o., Zagreb u iznosu 5.083,53 i – tuđu imovinu danu na korištenje, a koja se odnosi na nekretninu u vlasništvu Republike Hrvatske na adresi u Zagrebu, Visoka ulica 15, za potrebe smještaja i obavljanja djelatnosti Državnog izbornog povjerenstva Republike Hrvatske.</w:t>
      </w:r>
      <w:proofErr w:type="gramEnd"/>
      <w:r>
        <w:t xml:space="preserve"> Nekretnina dana na korištenje evidentirana je u izvanbilančnim evidencijama, temeljem Odluke Ministarstva prostornog uređenja, graditeljstva i državne, te Ugovora o uporabi nekretnine u iznosu od 0</w:t>
      </w:r>
      <w:proofErr w:type="gramStart"/>
      <w:r>
        <w:t>,13</w:t>
      </w:r>
      <w:proofErr w:type="gramEnd"/>
      <w:r>
        <w:t xml:space="preserve">, a sukladno knjigovodstvenim evidencijama Ministarstva. U odnosu </w:t>
      </w:r>
      <w:proofErr w:type="gramStart"/>
      <w:r>
        <w:t>na</w:t>
      </w:r>
      <w:proofErr w:type="gramEnd"/>
      <w:r>
        <w:t xml:space="preserve"> prethodno razdoblje ova pozicija je ostala nepromijenjena.</w:t>
      </w:r>
    </w:p>
    <w:p w:rsidR="00614C2D" w:rsidRDefault="00CA70C4" w:rsidP="00CA70C4">
      <w:pPr>
        <w:keepNext/>
        <w:spacing w:after="240"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14C2D" w:rsidRDefault="00614C2D">
      <w:pPr>
        <w:spacing w:after="0"/>
      </w:pPr>
    </w:p>
    <w:p w:rsidR="00614C2D" w:rsidRDefault="00CA70C4">
      <w:r>
        <w:t xml:space="preserve">U 2025. </w:t>
      </w:r>
      <w:proofErr w:type="gramStart"/>
      <w:r>
        <w:t>godini</w:t>
      </w:r>
      <w:proofErr w:type="gramEnd"/>
      <w:r>
        <w:t xml:space="preserve"> nije bilo promjena u vrijednosti i obujmu imovine.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obveza (šifre 91521+91522)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14C2D" w:rsidRDefault="00614C2D">
      <w:pPr>
        <w:spacing w:after="0"/>
      </w:pPr>
    </w:p>
    <w:p w:rsidR="00614C2D" w:rsidRDefault="00CA70C4" w:rsidP="00CA70C4">
      <w:pPr>
        <w:spacing w:after="240"/>
        <w:jc w:val="both"/>
      </w:pPr>
      <w:r>
        <w:t xml:space="preserve">U 2025. </w:t>
      </w:r>
      <w:proofErr w:type="gramStart"/>
      <w:r>
        <w:t>godini</w:t>
      </w:r>
      <w:proofErr w:type="gramEnd"/>
      <w:r>
        <w:t xml:space="preserve"> nije bilo promjena u vrijednosti i obujmu obveza.</w:t>
      </w:r>
    </w:p>
    <w:p w:rsidR="00614C2D" w:rsidRDefault="00CA70C4" w:rsidP="00CA70C4">
      <w:pPr>
        <w:keepNext/>
        <w:spacing w:after="240" w:line="240" w:lineRule="auto"/>
        <w:jc w:val="center"/>
      </w:pPr>
      <w:r>
        <w:rPr>
          <w:b/>
          <w:sz w:val="28"/>
        </w:rPr>
        <w:t>Izvještaj o obvezama</w:t>
      </w:r>
    </w:p>
    <w:p w:rsidR="00614C2D" w:rsidRDefault="00CA70C4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14C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4C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614C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4C2D" w:rsidRDefault="00CA70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14C2D" w:rsidRDefault="00614C2D">
      <w:pPr>
        <w:spacing w:after="0"/>
      </w:pPr>
    </w:p>
    <w:p w:rsidR="00614C2D" w:rsidRDefault="00CA70C4" w:rsidP="00CA70C4">
      <w:pPr>
        <w:jc w:val="both"/>
      </w:pPr>
      <w:r>
        <w:t xml:space="preserve">Državno izborno povjerenstvo Republike Hrvatske </w:t>
      </w:r>
      <w:proofErr w:type="gramStart"/>
      <w:r>
        <w:t>na</w:t>
      </w:r>
      <w:proofErr w:type="gramEnd"/>
      <w:r>
        <w:t xml:space="preserve"> kraju izvještajnog razdoblja ima ukupne obveze u iznosu od 120.844,30, a koje se u cijelosti odnose na nedospjele obveze.</w:t>
      </w:r>
    </w:p>
    <w:sectPr w:rsidR="00614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2D"/>
    <w:rsid w:val="00614C2D"/>
    <w:rsid w:val="00AC5DD8"/>
    <w:rsid w:val="00CA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627E"/>
  <w15:docId w15:val="{7C14B32E-7865-4A34-A3F9-2D071E72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A7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7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4861</Words>
  <Characters>27709</Characters>
  <Application>Microsoft Office Word</Application>
  <DocSecurity>0</DocSecurity>
  <Lines>230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Prskalo</dc:creator>
  <cp:lastModifiedBy>Vlatka Prskalo</cp:lastModifiedBy>
  <cp:revision>2</cp:revision>
  <cp:lastPrinted>2026-01-29T10:10:00Z</cp:lastPrinted>
  <dcterms:created xsi:type="dcterms:W3CDTF">2026-01-29T10:46:00Z</dcterms:created>
  <dcterms:modified xsi:type="dcterms:W3CDTF">2026-01-29T10:46:00Z</dcterms:modified>
</cp:coreProperties>
</file>